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522"/>
      </w:tblGrid>
      <w:tr w:rsidR="00337635" w:rsidRPr="00FD4EC0" w:rsidTr="00337635">
        <w:tc>
          <w:tcPr>
            <w:tcW w:w="8522" w:type="dxa"/>
          </w:tcPr>
          <w:p w:rsidR="00337635" w:rsidRPr="00FD4EC0" w:rsidRDefault="0019598D" w:rsidP="005F765B">
            <w:pPr>
              <w:pStyle w:val="Notedebasdepage"/>
              <w:spacing w:line="276" w:lineRule="auto"/>
              <w:ind w:left="84" w:firstLine="0"/>
              <w:rPr>
                <w:rFonts w:ascii="Traditional Arabic" w:hAnsi="Traditional Arabic"/>
                <w:b/>
                <w:bCs/>
                <w:i w:val="0"/>
                <w:iCs w:val="0"/>
                <w:spacing w:val="22"/>
                <w:kern w:val="16"/>
                <w:sz w:val="40"/>
                <w:szCs w:val="40"/>
                <w:lang w:bidi="ar-DZ"/>
              </w:rPr>
            </w:pPr>
            <w:bookmarkStart w:id="0" w:name="_GoBack"/>
            <w:bookmarkEnd w:id="0"/>
            <w:r w:rsidRPr="00FD4EC0">
              <w:rPr>
                <w:rFonts w:ascii="Traditional Arabic" w:hAnsi="Traditional Arabic" w:hint="cs"/>
                <w:b/>
                <w:bCs/>
                <w:i w:val="0"/>
                <w:iCs w:val="0"/>
                <w:spacing w:val="22"/>
                <w:kern w:val="16"/>
                <w:sz w:val="40"/>
                <w:szCs w:val="40"/>
                <w:rtl/>
                <w:lang w:bidi="ar-DZ"/>
              </w:rPr>
              <w:t>القرآن الكريم</w:t>
            </w:r>
            <w:r w:rsidR="005F765B">
              <w:rPr>
                <w:rFonts w:ascii="Traditional Arabic" w:hAnsi="Traditional Arabic" w:hint="cs"/>
                <w:b/>
                <w:bCs/>
                <w:i w:val="0"/>
                <w:iCs w:val="0"/>
                <w:spacing w:val="22"/>
                <w:kern w:val="16"/>
                <w:sz w:val="40"/>
                <w:szCs w:val="40"/>
                <w:rtl/>
                <w:lang w:bidi="ar-DZ"/>
              </w:rPr>
              <w:t xml:space="preserve"> برواية حفص.</w:t>
            </w:r>
          </w:p>
          <w:p w:rsidR="0019598D" w:rsidRPr="00FD4EC0" w:rsidRDefault="0019598D" w:rsidP="00FD4EC0">
            <w:pPr>
              <w:pStyle w:val="Notedebasdepage"/>
              <w:spacing w:line="276" w:lineRule="auto"/>
              <w:ind w:left="84" w:firstLine="0"/>
              <w:rPr>
                <w:b/>
                <w:bCs/>
                <w:sz w:val="36"/>
                <w:szCs w:val="36"/>
              </w:rPr>
            </w:pPr>
            <w:r w:rsidRPr="00FD4EC0">
              <w:rPr>
                <w:rFonts w:ascii="Traditional Arabic" w:hAnsi="Traditional Arabic" w:hint="cs"/>
                <w:b/>
                <w:bCs/>
                <w:i w:val="0"/>
                <w:iCs w:val="0"/>
                <w:spacing w:val="22"/>
                <w:kern w:val="16"/>
                <w:sz w:val="40"/>
                <w:szCs w:val="40"/>
                <w:rtl/>
                <w:lang w:bidi="ar-DZ"/>
              </w:rPr>
              <w:t>المصادر والمراجع.</w:t>
            </w:r>
          </w:p>
        </w:tc>
      </w:tr>
      <w:tr w:rsidR="00337635" w:rsidRPr="00FD4EC0" w:rsidTr="00337635">
        <w:tc>
          <w:tcPr>
            <w:tcW w:w="8522" w:type="dxa"/>
          </w:tcPr>
          <w:tbl>
            <w:tblPr>
              <w:tblStyle w:val="Grilledutableau"/>
              <w:bidiVisual/>
              <w:tblW w:w="0" w:type="auto"/>
              <w:tblInd w:w="4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8265"/>
            </w:tblGrid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ابن </w:t>
                  </w:r>
                  <w:proofErr w:type="gram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منظور</w:t>
                  </w:r>
                  <w:proofErr w:type="gram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 لسان العرب،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دار صار بيروت، ط1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 200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0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أحمد عزوز، المدارس اللسانية أعلامها مبادئها ومناهج تحليلها للأداء التواصلي منشورات مخبر اللغة العربية والاتصال دار الأديب للنشر والتوزيع وهران الجزائر ط1 2005.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spacing w:before="120"/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lang w:bidi="ar-OM"/>
                    </w:rPr>
                  </w:pPr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>أحمد مستجير "الجينوم: قراءة في سفر الإنسان"، في الكتب وجهات نظر، القاهرة، دار الشروق، العدد (18)، يوليو 2000م.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الازيرجاوي , فاضل محسن . اسس علم النفس التربوي. دار الكتب للطباعة والنشر الموصل، 1991.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أمين فاروق فهمي، "الاتجاه المنظومي في التدريس والتعلم" المؤتمر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العربي الأول حول "الاتجاه المنظومي في التدريس والتعلم" ، مركز تطوير تدريس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العلوم، جامعة عين شمس ، 17-18 فبراير ، 2001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أيمن حبيب سعيد، "دراسة المفاهيم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البديلة الموجودة لدى تلاميذ المرحلة الإعدادية عن بعض المفاهيم العلمية" مجلة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 xml:space="preserve">البحث في التربية وعلم النفس، العدد الثاني، المجلد الحادي </w:t>
                  </w:r>
                  <w:proofErr w:type="gramStart"/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عشر ،</w:t>
                  </w:r>
                  <w:proofErr w:type="gramEnd"/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 xml:space="preserve"> أكتوبر1997.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proofErr w:type="gram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  <w:t>تمام</w:t>
                  </w:r>
                  <w:proofErr w:type="gramEnd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  <w:t xml:space="preserve"> حسان: اللغة العربية معناها ومبناها 337، الهيئة المصرية العامة للكتاب ط2 سنة 1979م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الجاحظ، البيان والتبيين شرح حسن السندوسي دار الفكر بيروت لبنان (د ت).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جلال الدين السيوطي، المزهر في علوم اللغة وأنواعها، تحقيق محمد جاد المولى، وعلي البجاوي، ومحمد أبو الفضل إبراهيم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(بيروت: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دار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الجيل،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lastRenderedPageBreak/>
                    <w:t>(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دت).</w:t>
                  </w:r>
                  <w:proofErr w:type="spellEnd"/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lastRenderedPageBreak/>
                    <w:t xml:space="preserve">الخليفة حسن جعفر، </w:t>
                  </w:r>
                  <w:proofErr w:type="gram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المنهج</w:t>
                  </w:r>
                  <w:proofErr w:type="gram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المدرسي المعاصر، ط10 مكتبة الرشد.، 1431هـ،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</w:pPr>
                  <w:proofErr w:type="gram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دراسة</w:t>
                  </w:r>
                  <w:proofErr w:type="gram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في الأسلوب بين المعاصرة والتراث، القاهرة، دار غريب للطباعة والنشر والتوزيع، 1988</w:t>
                  </w:r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روبرت </w:t>
                  </w:r>
                  <w:proofErr w:type="spell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دي</w:t>
                  </w:r>
                  <w:proofErr w:type="spell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بوجراند</w:t>
                  </w:r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،</w:t>
                  </w:r>
                  <w:proofErr w:type="spellEnd"/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 xml:space="preserve"> </w:t>
                  </w: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النّص والخطاب </w:t>
                  </w:r>
                  <w:proofErr w:type="spell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والإجراء،</w:t>
                  </w:r>
                  <w:proofErr w:type="spell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"</w:t>
                  </w:r>
                  <w:proofErr w:type="spell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ترجمة تمام حسان، ط2، القاهرة، عالم الكتب، 2007</w:t>
                  </w: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رابح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بوخوش،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اللسانيات وتطبيقها على الخطاب الشعري، دار العلوم للنشر والتوزيع، 2006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  <w:t xml:space="preserve">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روبنز: موجز تاريخ علم اللغة، عالم المعرفة رقم 227، الكويت. المجلس الوطني للثقافة والفنون والآداب، الكويت رجب 1418هـ، نوفمبر </w:t>
                  </w:r>
                  <w:proofErr w:type="gram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1997م 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.</w:t>
                  </w:r>
                  <w:proofErr w:type="gramEnd"/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lang w:bidi="ar-OM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 xml:space="preserve">رياء المنذري "فاعلية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استخدام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 xml:space="preserve"> المنظم المتقدم في تحصيل النحو لدى طالبات الصف الثاني الإعدادي" رسالة ماجستير. </w:t>
                  </w:r>
                  <w:proofErr w:type="gram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>كلية</w:t>
                  </w:r>
                  <w:proofErr w:type="gramEnd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 xml:space="preserve"> التربية، جامعة السلطان قابوس، 2004</w:t>
                  </w:r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زتسيسلاف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واورزينياك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</w:t>
                  </w:r>
                  <w:proofErr w:type="spellEnd"/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مدخل إلى علم النّص، مشكلات بناء النص،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.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ترجمة وتعليق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: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سعيد حسن بحيري، مؤسسة المختار للنشر و التوزيع، القاهرة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ط1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.دت.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سعد مصلوح، العربية من نحو الجملة إلى نحو النص، النادي الثقافي جدة 1990 م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السويد خليفة علي، والخليلي  خليل يوسف، المنهاج مفهومه وتصميمه وتنفيذه وصيانته، الطبعة الأولى، دار القلم للنشر والتوزيع. 1417هـ</w:t>
                  </w:r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صبري. ماهر اسماعيل، والرافعي. محب محمود، التقويم التربوي أسسه وإجراءاته، الطبعة الأولى. </w:t>
                  </w:r>
                  <w:proofErr w:type="gram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مكتبة</w:t>
                  </w:r>
                  <w:proofErr w:type="gram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الرشد. 1429هـ</w:t>
                  </w:r>
                  <w:r w:rsidRPr="00FD4EC0"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.</w:t>
                  </w: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عبد الرحمن الثعالبي، الجواهر الحسان في تفسير القرآن، الجزء الثاني تح: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lastRenderedPageBreak/>
                    <w:t>عمار طالبي الجزائر عاصمة الثقافة العربية وزارة الثقافة 2007.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lastRenderedPageBreak/>
                    <w:t xml:space="preserve">عبد القاهر الجرجاني، دلائل الإعجاز، تحقيق محمد رضوان الداية، ومحمد فايز الداية دمشق: دار قتيبة، 1983.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عبد الواسع الحميري، في أفاق الكلام وتكلم النص، دار الزمان للطباعة والنشر والتوزيع دمشق –سوريا- ط1 2009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vertAlign w:val="superscript"/>
                      <w:rtl/>
                      <w:lang w:val="fr-FR" w:bidi="ar-OM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 xml:space="preserve">علي أحمد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>مدكور: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 xml:space="preserve"> تدريس فنون اللغة العربية، الطبعة الشرعية الثالثة، دار الفكر العربي،1423هـ،2002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val="fr-FR"/>
                    </w:rPr>
                  </w:pP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فاروق فهمي، ، "الاتجاه المنظومي في التدريس والتعلم للقرن الحادي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 xml:space="preserve">والعشرين" مجلة العلوم الحديثة، العدد الأول ، السنة الثالثة والأربعون، </w:t>
                  </w:r>
                  <w:r w:rsidRPr="00FD4EC0">
                    <w:rPr>
                      <w:rFonts w:ascii="Traditional Arabic" w:hAnsi="Traditional Arabic" w:hint="cs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مارس999.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فاروق فهمي، منى عبد الصبور، المدخل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b/>
                      <w:i w:val="0"/>
                      <w:iCs w:val="0"/>
                      <w:sz w:val="36"/>
                      <w:szCs w:val="36"/>
                      <w:rtl/>
                    </w:rPr>
                    <w:t>المنظومي في مواجهة التحديات التربوية والمعاصرة، القاهرة: دار المعارف،2001.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فايز الداية، الدلالة العربي النظرية والتطبيق دراسة تاريخية تأصيلية  نقدية ديوان المطبوعات الجامعية.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فتح الله. مندور عبد السلام، التقويم التروي، الطبعة الثانية، ، دار النشر الدولي، الرياض. 2006م.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القاضي أبي يعلى عبد الباقي عبد الله ابن المحسن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التنوخي،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القوافي،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تح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: عوفي عبد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الروؤف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مكتبة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الخانجي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مصر ط2 1978.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OM"/>
                    </w:rPr>
                  </w:pPr>
                  <w:r w:rsidRPr="00FD4EC0">
                    <w:rPr>
                      <w:rFonts w:ascii="Traditional Arabic" w:hAnsi="Traditional Arabic"/>
                      <w:sz w:val="36"/>
                      <w:szCs w:val="36"/>
                      <w:rtl/>
                      <w:lang w:bidi="ar-OM"/>
                    </w:rPr>
                    <w:t>عمرو بن عثمان بن قَنْبر، الملقب بـ ( سـيبويه</w:t>
                  </w:r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 xml:space="preserve">)، الكتاب، </w:t>
                  </w:r>
                  <w:proofErr w:type="spellStart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تح،</w:t>
                  </w:r>
                  <w:proofErr w:type="spellEnd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 xml:space="preserve"> عبد السلام </w:t>
                  </w:r>
                  <w:proofErr w:type="spellStart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هارون،</w:t>
                  </w:r>
                  <w:proofErr w:type="spellEnd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 xml:space="preserve"> مكتبة </w:t>
                  </w:r>
                  <w:proofErr w:type="spellStart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الخانجي،</w:t>
                  </w:r>
                  <w:proofErr w:type="spellEnd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ط3،</w:t>
                  </w:r>
                  <w:proofErr w:type="spellEnd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 w:hint="cs"/>
                      <w:sz w:val="36"/>
                      <w:szCs w:val="36"/>
                      <w:rtl/>
                      <w:lang w:bidi="ar-OM"/>
                    </w:rPr>
                    <w:t>40</w:t>
                  </w:r>
                  <w:r w:rsidRPr="00FD4EC0">
                    <w:rPr>
                      <w:rFonts w:ascii="Traditional Arabic" w:hAnsi="Traditional Arabic"/>
                      <w:sz w:val="36"/>
                      <w:szCs w:val="36"/>
                      <w:rtl/>
                      <w:lang w:bidi="ar-OM"/>
                    </w:rPr>
                    <w:t>3هـ</w:t>
                  </w:r>
                  <w:proofErr w:type="spellEnd"/>
                  <w:r w:rsidRPr="00FD4EC0">
                    <w:rPr>
                      <w:rFonts w:ascii="Traditional Arabic" w:hAnsi="Traditional Arabic"/>
                      <w:sz w:val="36"/>
                      <w:szCs w:val="36"/>
                      <w:rtl/>
                      <w:lang w:bidi="ar-OM"/>
                    </w:rPr>
                    <w:t xml:space="preserve">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19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8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8.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z w:val="36"/>
                      <w:szCs w:val="36"/>
                      <w:rtl/>
                    </w:rPr>
                    <w:t xml:space="preserve">تمام حسان،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  <w:t>اللغة العربية معناها ومبناها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z w:val="36"/>
                      <w:szCs w:val="36"/>
                      <w:rtl/>
                    </w:rPr>
                    <w:t xml:space="preserve">، دار الثقافة، الدار البيضاء الغرب، طبعة 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19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94م.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/>
                    </w:rPr>
                  </w:pP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 w:bidi="ar-DZ"/>
                    </w:rPr>
                    <w:t>ال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>ديداوي، محمد، الترجمة والتواصل، دراسات عملية تحليلية لإشكالية الاصط</w:t>
                  </w: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 w:bidi="ar-DZ"/>
                    </w:rPr>
                    <w:t>ـ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 xml:space="preserve">لاح و دور 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lastRenderedPageBreak/>
                    <w:t>المترجم، الدار البيضاء-بيروت: المركز الثقافي العربي</w:t>
                  </w: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 w:bidi="ar-DZ"/>
                    </w:rPr>
                    <w:t>.2000م.</w:t>
                  </w:r>
                </w:p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</w:pP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/>
                    </w:rPr>
                    <w:t>ال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>عقل</w:t>
                  </w: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 w:bidi="ar-DZ"/>
                    </w:rPr>
                    <w:t>،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 xml:space="preserve"> </w:t>
                  </w:r>
                  <w:proofErr w:type="gramStart"/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>أنور ،</w:t>
                  </w:r>
                  <w:proofErr w:type="gramEnd"/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 xml:space="preserve"> تطوير تقويم أداء الطالب،دار النهضة </w:t>
                  </w:r>
                  <w:proofErr w:type="spellStart"/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>العربية،</w:t>
                  </w:r>
                  <w:proofErr w:type="spellEnd"/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 xml:space="preserve"> بيروت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lang w:val="fr-FR" w:bidi="ar-DZ"/>
                    </w:rPr>
                    <w:t>.</w:t>
                  </w:r>
                  <w:r w:rsidRPr="00FD4EC0">
                    <w:rPr>
                      <w:rFonts w:ascii="Traditional Arabic" w:eastAsia="Calibri" w:hAnsi="Traditional Arabic" w:cs="Traditional Arabic"/>
                      <w:sz w:val="36"/>
                      <w:szCs w:val="36"/>
                      <w:rtl/>
                      <w:lang w:val="fr-FR" w:bidi="ar-DZ"/>
                    </w:rPr>
                    <w:t xml:space="preserve"> 2002</w:t>
                  </w:r>
                  <w:r w:rsidRPr="00FD4EC0">
                    <w:rPr>
                      <w:rFonts w:ascii="Traditional Arabic" w:eastAsia="Calibri" w:hAnsi="Traditional Arabic" w:cs="Traditional Arabic" w:hint="cs"/>
                      <w:sz w:val="36"/>
                      <w:szCs w:val="36"/>
                      <w:rtl/>
                      <w:lang w:val="fr-FR" w:bidi="ar-DZ"/>
                    </w:rPr>
                    <w:t>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lastRenderedPageBreak/>
                    <w:t>محمد الصغير بناني. النظريات اللسانية والبلاغية والأدبية عند الجاحظ من خلال البيان والتبيين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 دار الحداثة للطباعة والنشر، ط1، 2007م.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محمد بركات حمد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يابو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علي،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الأصول الأدبية في كتاب البيان والتبيين مكتبة الرسالة الحديثة الأردن عمان 197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9م.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محمد حماسة عبد اللطيف، بناء الجملة </w:t>
                  </w:r>
                  <w:proofErr w:type="gram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العربية ،</w:t>
                  </w:r>
                  <w:proofErr w:type="gram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دار الشروق القاهرة، ط1 1996.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محمد خطابي، لسانيات النّص مدخل إلى انسجام الخطاب،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المركز الثقافي العربي، ط1، 99م.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  <w:t xml:space="preserve">محمد عبد </w:t>
                  </w:r>
                  <w:proofErr w:type="gramStart"/>
                  <w:r w:rsidRPr="00FD4EC0"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  <w:t>الحميد ,</w:t>
                  </w:r>
                  <w:proofErr w:type="gramEnd"/>
                  <w:r w:rsidRPr="00FD4EC0"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  <w:t xml:space="preserve"> علم النفس التربوي , الرياض ، دار النشر الدولي ، 1424هـ -2003م.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spacing w:before="120"/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</w:rPr>
                  </w:pPr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 xml:space="preserve">محمد عبيد: في اللغة ودراستها، </w:t>
                  </w:r>
                  <w:proofErr w:type="gramStart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>القاهرة</w:t>
                  </w:r>
                  <w:proofErr w:type="gramEnd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>، عالم الكتب، 1974،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محمد عودة : علم النفس العام ، دار المسيرة للنشر ، 1425هـ - 2004 م 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محمد محمود محمد: علم النفس المعاصر في ضوء </w:t>
                  </w:r>
                  <w:proofErr w:type="gramStart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الإسلام ،</w:t>
                  </w:r>
                  <w:proofErr w:type="gramEnd"/>
                  <w:r w:rsidRPr="00FD4EC0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جدة، دار الشروق ، 1428هـ -  2007م 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color w:val="FF000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محمد </w:t>
                  </w:r>
                  <w:proofErr w:type="spellStart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موسوني،</w:t>
                  </w:r>
                  <w:proofErr w:type="spellEnd"/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السؤال والجواب دراسة نحوية وبلاغية وقرآنية، ديوان المطبوعات الجامعية الجزائر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.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color w:val="FF000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مريم فرنسيس، في بناء النص ودلالته محاور الحالة الكلامية، منشورات وزارة الثقافة سورية 1998.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المنصف عاشور، التركيب عند ابن المقفع في مقدمات كتاب كليلة ودمنة دراسة إحصائية وصفية ديوان المطبوعات الجامعية- الجزائر 1982.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1A3C1C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</w:pPr>
                  <w:r w:rsidRPr="001A3C1C">
                    <w:fldChar w:fldCharType="begin"/>
                  </w:r>
                  <w:r w:rsidR="00337635" w:rsidRPr="00FD4EC0">
                    <w:rPr>
                      <w:rFonts w:ascii="Traditional Arabic" w:hAnsi="Traditional Arabic" w:cs="Traditional Arabic"/>
                      <w:sz w:val="36"/>
                      <w:szCs w:val="36"/>
                    </w:rPr>
                    <w:instrText xml:space="preserve"> HYPERLINK "http://www.edutrapedia.illaf.net/arabic/show_article.thtml?id=210" </w:instrText>
                  </w:r>
                  <w:r w:rsidRPr="001A3C1C">
                    <w:fldChar w:fldCharType="separate"/>
                  </w:r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gram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منصور</w:t>
                  </w:r>
                  <w:proofErr w:type="gram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علي: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التعلم ونظرياته. مديرية الكتب والمطبوعات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الجامعية,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منشورات جامعة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lastRenderedPageBreak/>
                    <w:t>تشرين,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اللاذقية,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1421هـ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-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2001م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.</w:t>
                  </w:r>
                </w:p>
                <w:p w:rsidR="00337635" w:rsidRPr="00FD4EC0" w:rsidRDefault="001A3C1C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</w:pPr>
                  <w:r w:rsidRPr="00FD4EC0">
                    <w:rPr>
                      <w:rStyle w:val="Lienhypertexte"/>
                      <w:rFonts w:ascii="Traditional Arabic" w:eastAsia="Calibri" w:hAnsi="Traditional Arabic" w:cs="Traditional Arabic"/>
                      <w:sz w:val="36"/>
                      <w:szCs w:val="36"/>
                      <w:vertAlign w:val="superscript"/>
                    </w:rPr>
                    <w:fldChar w:fldCharType="end"/>
                  </w:r>
                  <w:r w:rsidR="00337635" w:rsidRPr="00FD4EC0">
                    <w:rPr>
                      <w:sz w:val="36"/>
                      <w:szCs w:val="36"/>
                      <w:lang w:val="fr-FR"/>
                    </w:rPr>
                    <w:t xml:space="preserve"> </w:t>
                  </w:r>
                  <w:r w:rsidRPr="001A3C1C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</w:rPr>
                    <w:fldChar w:fldCharType="begin"/>
                  </w:r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</w:rPr>
                    <w:instrText xml:space="preserve"> HYPERLINK "http://www.edutrapedia.illaf.net/arabic/show_article.thtml?id=210" </w:instrText>
                  </w:r>
                  <w:r w:rsidRPr="001A3C1C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الزغول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عماد: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نظريات التعلم. </w:t>
                  </w:r>
                  <w:proofErr w:type="gram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دار</w:t>
                  </w:r>
                  <w:proofErr w:type="gram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الشروق,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عمان-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الأردن,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proofErr w:type="spellStart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2003م</w:t>
                  </w:r>
                  <w:proofErr w:type="spellEnd"/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>.</w:t>
                  </w:r>
                </w:p>
                <w:p w:rsidR="00337635" w:rsidRPr="00FD4EC0" w:rsidRDefault="001A3C1C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sz w:val="36"/>
                      <w:szCs w:val="36"/>
                      <w:rtl/>
                    </w:rPr>
                  </w:pPr>
                  <w:r w:rsidRPr="00FD4EC0">
                    <w:rPr>
                      <w:rFonts w:eastAsia="Times New Roman"/>
                    </w:rPr>
                    <w:fldChar w:fldCharType="end"/>
                  </w:r>
                  <w:r w:rsidR="00337635"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</w:rPr>
                    <w:t xml:space="preserve"> علي عسكر فايز القنطار ,مدخل إلى علم النفس التربوي</w:t>
                  </w:r>
                  <w:r w:rsidR="00337635" w:rsidRPr="00FD4EC0">
                    <w:rPr>
                      <w:rFonts w:ascii="Traditional Arabic" w:eastAsia="Times New Roman" w:hAnsi="Traditional Arabic" w:cs="Traditional Arabic" w:hint="cs"/>
                      <w:sz w:val="36"/>
                      <w:szCs w:val="36"/>
                      <w:rtl/>
                    </w:rPr>
                    <w:t>، دار فلاح، ط1، 2005م.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spacing w:before="120"/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lang w:bidi="ar-OM"/>
                    </w:rPr>
                  </w:pPr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lastRenderedPageBreak/>
                    <w:t xml:space="preserve">نبيل </w:t>
                  </w:r>
                  <w:proofErr w:type="gramStart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>علي :</w:t>
                  </w:r>
                  <w:proofErr w:type="gramEnd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 xml:space="preserve">الثقافة العربية وعصر المعلومات رؤية مستقبل الخطاب العربي، الكويت، سلسلة عالم المعرفة، المجلس الوطني للثقافة والفنون والآداب، العدد 265، يناير 2001م،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spacing w:before="120"/>
                    <w:ind w:left="84"/>
                    <w:jc w:val="lowKashida"/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</w:rPr>
                  </w:pPr>
                  <w:proofErr w:type="gramStart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>نبيل</w:t>
                  </w:r>
                  <w:proofErr w:type="gramEnd"/>
                  <w:r w:rsidRPr="00FD4EC0">
                    <w:rPr>
                      <w:rFonts w:ascii="Traditional Arabic" w:eastAsia="Times New Roman" w:hAnsi="Traditional Arabic" w:cs="Traditional Arabic"/>
                      <w:sz w:val="36"/>
                      <w:szCs w:val="36"/>
                      <w:rtl/>
                      <w:lang w:bidi="ar-OM"/>
                    </w:rPr>
                    <w:t xml:space="preserve"> علي: "وراثة اللغة ولغة الوراثة" في الكتب وجهات نظر، القاهرة، دار الشروق، العدد(27)، أبريل 2001م</w:t>
                  </w:r>
                  <w:r w:rsidRPr="00FD4EC0">
                    <w:rPr>
                      <w:rFonts w:ascii="Traditional Arabic" w:eastAsia="Times New Roman" w:hAnsi="Traditional Arabic" w:cs="Traditional Arabic" w:hint="cs"/>
                      <w:sz w:val="36"/>
                      <w:szCs w:val="36"/>
                      <w:rtl/>
                      <w:lang w:bidi="ar-OM"/>
                    </w:rPr>
                    <w:t>.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Notedebasdepage"/>
                    <w:numPr>
                      <w:ilvl w:val="0"/>
                      <w:numId w:val="5"/>
                    </w:numPr>
                    <w:spacing w:line="276" w:lineRule="auto"/>
                    <w:ind w:left="84"/>
                    <w:rPr>
                      <w:rFonts w:ascii="Traditional Arabic" w:hAnsi="Traditional Arabic"/>
                      <w:i w:val="0"/>
                      <w:iCs w:val="0"/>
                      <w:color w:val="548DD4" w:themeColor="text2" w:themeTint="99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</w:pP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خليفة بوجادي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في اللسانيات التداولية مع محاولة تأصيلية في الدرس العربي القديم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بيت الحكمة للنشر والتوزيع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،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 xml:space="preserve"> </w:t>
                  </w:r>
                  <w:r w:rsidRPr="00FD4EC0">
                    <w:rPr>
                      <w:rFonts w:ascii="Traditional Arabic" w:hAnsi="Traditional Arabic" w:hint="cs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rtl/>
                      <w:lang w:bidi="ar-DZ"/>
                    </w:rPr>
                    <w:t>ط1، 2009م.</w:t>
                  </w:r>
                  <w:r w:rsidRPr="00FD4EC0">
                    <w:rPr>
                      <w:rFonts w:ascii="Traditional Arabic" w:hAnsi="Traditional Arabic"/>
                      <w:i w:val="0"/>
                      <w:iCs w:val="0"/>
                      <w:spacing w:val="22"/>
                      <w:kern w:val="16"/>
                      <w:sz w:val="36"/>
                      <w:szCs w:val="36"/>
                      <w:lang w:bidi="ar-DZ"/>
                    </w:rPr>
                    <w:t xml:space="preserve"> </w:t>
                  </w:r>
                </w:p>
              </w:tc>
            </w:tr>
            <w:tr w:rsidR="00337635" w:rsidRPr="00FD4EC0" w:rsidTr="00337635">
              <w:tc>
                <w:tcPr>
                  <w:tcW w:w="8265" w:type="dxa"/>
                </w:tcPr>
                <w:p w:rsidR="00337635" w:rsidRPr="00FD4EC0" w:rsidRDefault="00337635" w:rsidP="00FD4EC0">
                  <w:pPr>
                    <w:pStyle w:val="Paragraphedeliste"/>
                    <w:numPr>
                      <w:ilvl w:val="0"/>
                      <w:numId w:val="5"/>
                    </w:numPr>
                    <w:ind w:left="84"/>
                    <w:jc w:val="lowKashida"/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</w:rPr>
                  </w:pPr>
                  <w:r w:rsidRPr="00FD4EC0"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  <w:t>يوسف قطامي , علم النفس التربوي والتفكير</w:t>
                  </w:r>
                  <w:r w:rsidRPr="00FD4EC0">
                    <w:rPr>
                      <w:rFonts w:ascii="Traditional Arabic" w:hAnsi="Traditional Arabic" w:cs="Traditional Arabic" w:hint="cs"/>
                      <w:color w:val="000000"/>
                      <w:sz w:val="36"/>
                      <w:szCs w:val="36"/>
                      <w:rtl/>
                    </w:rPr>
                    <w:t xml:space="preserve">، </w:t>
                  </w:r>
                  <w:r w:rsidRPr="00FD4EC0"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</w:rPr>
                    <w:t>دار حنين</w:t>
                  </w:r>
                  <w:r w:rsidRPr="00FD4EC0">
                    <w:rPr>
                      <w:rFonts w:ascii="Traditional Arabic" w:hAnsi="Traditional Arabic" w:cs="Traditional Arabic" w:hint="cs"/>
                      <w:color w:val="000000"/>
                      <w:sz w:val="36"/>
                      <w:szCs w:val="36"/>
                      <w:rtl/>
                    </w:rPr>
                    <w:t xml:space="preserve"> للنشر والتوزيع عمان، ط1، 2005م.</w:t>
                  </w:r>
                </w:p>
                <w:p w:rsidR="00FD4EC0" w:rsidRPr="00FD4EC0" w:rsidRDefault="00FD4EC0" w:rsidP="00FD4EC0">
                  <w:pPr>
                    <w:bidi w:val="0"/>
                    <w:ind w:left="84"/>
                    <w:jc w:val="right"/>
                    <w:rPr>
                      <w:rFonts w:ascii="Traditional Arabic" w:hAnsi="Traditional Arabic" w:cs="Traditional Arabic"/>
                      <w:b/>
                      <w:bCs/>
                      <w:sz w:val="36"/>
                      <w:szCs w:val="36"/>
                      <w:rtl/>
                    </w:rPr>
                  </w:pPr>
                  <w:proofErr w:type="gramStart"/>
                  <w:r w:rsidRPr="00FD4EC0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>الدراسات</w:t>
                  </w:r>
                  <w:proofErr w:type="gramEnd"/>
                  <w:r w:rsidRPr="00FD4EC0">
                    <w:rPr>
                      <w:rFonts w:ascii="Traditional Arabic" w:hAnsi="Traditional Arabic" w:cs="Traditional Arabic" w:hint="cs"/>
                      <w:b/>
                      <w:bCs/>
                      <w:sz w:val="36"/>
                      <w:szCs w:val="36"/>
                      <w:rtl/>
                    </w:rPr>
                    <w:t xml:space="preserve"> والرسائل:</w:t>
                  </w:r>
                </w:p>
                <w:tbl>
                  <w:tblPr>
                    <w:tblStyle w:val="Grilledutableau"/>
                    <w:bidiVisual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8049"/>
                  </w:tblGrid>
                  <w:tr w:rsidR="00FD4EC0" w:rsidRPr="00FD4EC0" w:rsidTr="00D74E3A">
                    <w:tc>
                      <w:tcPr>
                        <w:tcW w:w="8522" w:type="dxa"/>
                      </w:tcPr>
                      <w:p w:rsidR="00FD4EC0" w:rsidRPr="00FD4EC0" w:rsidRDefault="00FD4EC0" w:rsidP="00FD4EC0">
                        <w:pPr>
                          <w:pStyle w:val="Paragraphedeliste"/>
                          <w:numPr>
                            <w:ilvl w:val="0"/>
                            <w:numId w:val="5"/>
                          </w:numPr>
                          <w:ind w:left="84"/>
                          <w:jc w:val="lowKashida"/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lang w:bidi="ar-DZ"/>
                          </w:rPr>
                        </w:pPr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  <w:t>دحمان نور الدين، إشكالية المعنى في النص المترجم رسالة ماجستير المكتبة الجامعية جامعة وهران 2003</w:t>
                        </w:r>
                        <w:r w:rsidRPr="00FD4EC0">
                          <w:rPr>
                            <w:rFonts w:ascii="Traditional Arabic" w:hAnsi="Traditional Arabic" w:cs="Traditional Arabic" w:hint="cs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  <w:t>.</w:t>
                        </w:r>
                      </w:p>
                      <w:p w:rsidR="00FD4EC0" w:rsidRPr="00FD4EC0" w:rsidRDefault="00FD4EC0" w:rsidP="00FD4EC0">
                        <w:pPr>
                          <w:pStyle w:val="Paragraphedeliste"/>
                          <w:numPr>
                            <w:ilvl w:val="0"/>
                            <w:numId w:val="5"/>
                          </w:numPr>
                          <w:ind w:left="84"/>
                          <w:jc w:val="lowKashida"/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</w:pPr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  <w:t xml:space="preserve"> </w:t>
                        </w:r>
                        <w:r w:rsidRPr="00FD4EC0">
                          <w:rPr>
                            <w:rFonts w:ascii="Traditional Arabic" w:eastAsia="Times New Roman" w:hAnsi="Traditional Arabic" w:cs="Traditional Arabic"/>
                            <w:sz w:val="36"/>
                            <w:szCs w:val="36"/>
                            <w:rtl/>
                            <w:lang w:bidi="ar-OM"/>
                          </w:rPr>
                          <w:t>رشدي أحمد طعيمه: المرجع في تعليم اللغة العربية للناطقين بلغات أخرى، جامعة أم القرى اللغة العربية، العدد (18).</w:t>
                        </w:r>
                      </w:p>
                    </w:tc>
                  </w:tr>
                  <w:tr w:rsidR="00FD4EC0" w:rsidRPr="00FD4EC0" w:rsidTr="00D74E3A">
                    <w:tc>
                      <w:tcPr>
                        <w:tcW w:w="8522" w:type="dxa"/>
                      </w:tcPr>
                      <w:p w:rsidR="00FD4EC0" w:rsidRPr="00FD4EC0" w:rsidRDefault="00FD4EC0" w:rsidP="00FD4EC0">
                        <w:pPr>
                          <w:pStyle w:val="Paragraphedeliste"/>
                          <w:numPr>
                            <w:ilvl w:val="0"/>
                            <w:numId w:val="5"/>
                          </w:numPr>
                          <w:ind w:left="84"/>
                          <w:jc w:val="lowKashida"/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OM"/>
                          </w:rPr>
                        </w:pPr>
                        <w:r w:rsidRPr="00FD4EC0">
                          <w:rPr>
                            <w:rFonts w:ascii="Traditional Arabic" w:eastAsia="Times New Roman" w:hAnsi="Traditional Arabic" w:cs="Traditional Arabic"/>
                            <w:sz w:val="36"/>
                            <w:szCs w:val="36"/>
                            <w:rtl/>
                            <w:lang w:bidi="ar-OM"/>
                          </w:rPr>
                          <w:t>سعود بن حميد السبيعي "نحو نظرية إسلامية للغة" في مجلة جامعة أم القرى للعلوم التربوية والاجتماعية والإنسانية، العدد الثاني، المجلد عشر، ربيع 121هـ، يوليو 2000م.</w:t>
                        </w:r>
                      </w:p>
                    </w:tc>
                  </w:tr>
                  <w:tr w:rsidR="00FD4EC0" w:rsidRPr="00FD4EC0" w:rsidTr="00D74E3A">
                    <w:tc>
                      <w:tcPr>
                        <w:tcW w:w="8522" w:type="dxa"/>
                      </w:tcPr>
                      <w:p w:rsidR="00FD4EC0" w:rsidRPr="00FD4EC0" w:rsidRDefault="00FD4EC0" w:rsidP="00FD4EC0">
                        <w:pPr>
                          <w:pStyle w:val="Paragraphedeliste"/>
                          <w:numPr>
                            <w:ilvl w:val="0"/>
                            <w:numId w:val="5"/>
                          </w:numPr>
                          <w:ind w:left="84"/>
                          <w:jc w:val="lowKashida"/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OM"/>
                          </w:rPr>
                        </w:pPr>
                        <w:proofErr w:type="gramStart"/>
                        <w:r w:rsidRPr="00FD4EC0">
                          <w:rPr>
                            <w:rFonts w:ascii="Traditional Arabic" w:eastAsia="Times New Roman" w:hAnsi="Traditional Arabic" w:cs="Traditional Arabic"/>
                            <w:sz w:val="36"/>
                            <w:szCs w:val="36"/>
                            <w:rtl/>
                          </w:rPr>
                          <w:t>محمد</w:t>
                        </w:r>
                        <w:proofErr w:type="gramEnd"/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  <w:t xml:space="preserve"> محمد يونس علي، وصف اللغة العربية دلاليا في ضوء مفهوم الدلالة المركزية: دراسة حول المعنى ومعنى المعنى </w:t>
                        </w:r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lang w:bidi="ar-DZ"/>
                          </w:rPr>
                          <w:t>(</w:t>
                        </w:r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rtl/>
                            <w:lang w:bidi="ar-DZ"/>
                          </w:rPr>
                          <w:t>طرابلس: منشورات جامعة الفاتح، 1993</w:t>
                        </w:r>
                        <w:r w:rsidRPr="00FD4EC0">
                          <w:rPr>
                            <w:rFonts w:ascii="Traditional Arabic" w:hAnsi="Traditional Arabic" w:cs="Traditional Arabic"/>
                            <w:spacing w:val="22"/>
                            <w:kern w:val="16"/>
                            <w:sz w:val="36"/>
                            <w:szCs w:val="36"/>
                            <w:lang w:bidi="ar-DZ"/>
                          </w:rPr>
                          <w:t>.</w:t>
                        </w:r>
                      </w:p>
                    </w:tc>
                  </w:tr>
                </w:tbl>
                <w:p w:rsidR="00FD4EC0" w:rsidRPr="00FD4EC0" w:rsidRDefault="00FD4EC0" w:rsidP="00FD4EC0">
                  <w:pPr>
                    <w:bidi w:val="0"/>
                    <w:ind w:left="84"/>
                    <w:jc w:val="right"/>
                    <w:rPr>
                      <w:rFonts w:ascii="Traditional Arabic" w:hAnsi="Traditional Arabic" w:cs="Traditional Arabic"/>
                      <w:color w:val="000000"/>
                      <w:sz w:val="36"/>
                      <w:szCs w:val="36"/>
                      <w:rtl/>
                      <w:lang w:val="fr-FR" w:bidi="ar-OM"/>
                    </w:rPr>
                  </w:pPr>
                </w:p>
              </w:tc>
            </w:tr>
          </w:tbl>
          <w:p w:rsidR="00337635" w:rsidRPr="00FD4EC0" w:rsidRDefault="00337635" w:rsidP="00FD4EC0">
            <w:pPr>
              <w:bidi w:val="0"/>
              <w:ind w:left="84"/>
              <w:jc w:val="lowKashida"/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  <w:lang w:val="fr-FR"/>
              </w:rPr>
            </w:pPr>
            <w:r w:rsidRPr="00FD4EC0">
              <w:rPr>
                <w:rFonts w:ascii="Times New Roman" w:eastAsia="Times New Roman" w:hAnsi="Times New Roman" w:cs="Times New Roman"/>
                <w:sz w:val="36"/>
                <w:szCs w:val="36"/>
              </w:rPr>
              <w:br/>
            </w:r>
          </w:p>
        </w:tc>
      </w:tr>
    </w:tbl>
    <w:p w:rsidR="00FD4EC0" w:rsidRPr="00FD4EC0" w:rsidRDefault="00FD4EC0" w:rsidP="00FD4EC0">
      <w:pPr>
        <w:bidi w:val="0"/>
        <w:ind w:left="84"/>
        <w:jc w:val="right"/>
        <w:rPr>
          <w:sz w:val="36"/>
          <w:szCs w:val="36"/>
          <w:lang w:val="fr-FR"/>
        </w:rPr>
      </w:pPr>
      <w:proofErr w:type="gramStart"/>
      <w:r w:rsidRPr="00FD4EC0">
        <w:rPr>
          <w:rFonts w:ascii="Traditional Arabic" w:hAnsi="Traditional Arabic" w:cs="Traditional Arabic"/>
          <w:b/>
          <w:bCs/>
          <w:sz w:val="40"/>
          <w:szCs w:val="40"/>
          <w:rtl/>
        </w:rPr>
        <w:lastRenderedPageBreak/>
        <w:t>المراجع</w:t>
      </w:r>
      <w:proofErr w:type="gramEnd"/>
      <w:r w:rsidRPr="00FD4EC0">
        <w:rPr>
          <w:rFonts w:ascii="Traditional Arabic" w:hAnsi="Traditional Arabic" w:cs="Traditional Arabic"/>
          <w:b/>
          <w:bCs/>
          <w:sz w:val="40"/>
          <w:szCs w:val="40"/>
          <w:rtl/>
        </w:rPr>
        <w:t xml:space="preserve"> الأجنبية</w:t>
      </w:r>
      <w:r w:rsidRPr="00FD4EC0">
        <w:rPr>
          <w:rFonts w:hint="cs"/>
          <w:sz w:val="36"/>
          <w:szCs w:val="36"/>
          <w:rtl/>
        </w:rPr>
        <w:t>:</w:t>
      </w:r>
    </w:p>
    <w:tbl>
      <w:tblPr>
        <w:tblStyle w:val="Grilledutableau"/>
        <w:tblW w:w="8647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47"/>
      </w:tblGrid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34"/>
              <w:jc w:val="both"/>
              <w:rPr>
                <w:rFonts w:asciiTheme="majorBidi" w:eastAsia="Calibri" w:hAnsiTheme="majorBidi" w:cstheme="majorBidi"/>
                <w:lang w:val="fr-FR" w:bidi="ar-DZ"/>
              </w:rPr>
            </w:pPr>
            <w:r w:rsidRPr="00E56008">
              <w:rPr>
                <w:rFonts w:asciiTheme="majorBidi" w:eastAsia="Calibri" w:hAnsiTheme="majorBidi" w:cstheme="majorBidi"/>
                <w:lang w:val="fr-FR"/>
              </w:rPr>
              <w:t>BONNIOL, J.J &amp; Michel VIAL(1997), les modèles d’évaluation, Bruxelles, de Boeck.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spacing w:line="192" w:lineRule="auto"/>
              <w:ind w:left="84"/>
              <w:rPr>
                <w:rFonts w:asciiTheme="majorBidi" w:eastAsia="Times New Roman" w:hAnsiTheme="majorBidi" w:cstheme="majorBidi"/>
                <w:vertAlign w:val="superscript"/>
                <w:rtl/>
                <w:lang w:val="it-IT" w:eastAsia="ar-SA" w:bidi="ar-DZ"/>
              </w:rPr>
            </w:pPr>
            <w:r w:rsidRPr="00E56008">
              <w:rPr>
                <w:rFonts w:asciiTheme="majorBidi" w:eastAsia="Times New Roman" w:hAnsiTheme="majorBidi" w:cstheme="majorBidi"/>
                <w:lang w:eastAsia="ar-SA"/>
              </w:rPr>
              <w:t>Candace SÉGUINOT (1989)</w:t>
            </w:r>
            <w:proofErr w:type="gramStart"/>
            <w:r w:rsidRPr="00E56008">
              <w:rPr>
                <w:rFonts w:asciiTheme="majorBidi" w:eastAsia="Times New Roman" w:hAnsiTheme="majorBidi" w:cstheme="majorBidi"/>
                <w:lang w:eastAsia="ar-SA"/>
              </w:rPr>
              <w:t>,«</w:t>
            </w:r>
            <w:proofErr w:type="gramEnd"/>
            <w:r w:rsidRPr="00E56008">
              <w:rPr>
                <w:rFonts w:asciiTheme="majorBidi" w:eastAsia="Times New Roman" w:hAnsiTheme="majorBidi" w:cstheme="majorBidi"/>
                <w:lang w:eastAsia="ar-SA"/>
              </w:rPr>
              <w:t xml:space="preserve"> Understanding Why Translators Make errors », </w:t>
            </w:r>
            <w:r w:rsidRPr="00E56008">
              <w:rPr>
                <w:rFonts w:asciiTheme="majorBidi" w:eastAsia="Times New Roman" w:hAnsiTheme="majorBidi" w:cstheme="majorBidi"/>
                <w:lang w:val="it-IT" w:eastAsia="ar-SA"/>
              </w:rPr>
              <w:t>TTR, Vol. 2, n° 2.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84"/>
              <w:jc w:val="both"/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</w:pPr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>Cohesion in English,</w:t>
            </w:r>
            <w:r w:rsidRPr="00E56008">
              <w:rPr>
                <w:rFonts w:asciiTheme="majorBidi" w:eastAsia="Times New Roman" w:hAnsiTheme="majorBidi" w:cstheme="majorBidi"/>
                <w:b/>
                <w:bCs/>
                <w:spacing w:val="22"/>
                <w:kern w:val="16"/>
                <w:lang w:eastAsia="fr-FR" w:bidi="ar-DZ"/>
              </w:rPr>
              <w:t xml:space="preserve">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>Halliday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 xml:space="preserve"> M.A.K </w:t>
            </w:r>
            <w:proofErr w:type="gram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>And</w:t>
            </w:r>
            <w:proofErr w:type="gram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 xml:space="preserve">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>Ruquaya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fr-FR" w:bidi="ar-DZ"/>
              </w:rPr>
              <w:t xml:space="preserve"> Hassan, Longman, London, 1976.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84"/>
              <w:jc w:val="both"/>
              <w:rPr>
                <w:rFonts w:asciiTheme="majorBidi" w:eastAsia="Times New Roman" w:hAnsiTheme="majorBidi" w:cstheme="majorBidi"/>
                <w:lang w:eastAsia="fr-FR"/>
              </w:rPr>
            </w:pPr>
            <w:r w:rsidRPr="00E56008">
              <w:rPr>
                <w:rFonts w:asciiTheme="majorBidi" w:eastAsia="Times New Roman" w:hAnsiTheme="majorBidi" w:cstheme="majorBidi"/>
                <w:lang w:eastAsia="fr-FR"/>
              </w:rPr>
              <w:t xml:space="preserve">Cohesion in English,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lang w:eastAsia="fr-FR"/>
              </w:rPr>
              <w:t>Halliday</w:t>
            </w:r>
            <w:proofErr w:type="spellEnd"/>
            <w:r w:rsidRPr="00E56008">
              <w:rPr>
                <w:rFonts w:asciiTheme="majorBidi" w:eastAsia="Times New Roman" w:hAnsiTheme="majorBidi" w:cstheme="majorBidi"/>
                <w:lang w:eastAsia="fr-FR"/>
              </w:rPr>
              <w:t xml:space="preserve"> M.A.K And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lang w:eastAsia="fr-FR"/>
              </w:rPr>
              <w:t>Ruquaya</w:t>
            </w:r>
            <w:proofErr w:type="spellEnd"/>
            <w:r w:rsidRPr="00E56008">
              <w:rPr>
                <w:rFonts w:asciiTheme="majorBidi" w:eastAsia="Times New Roman" w:hAnsiTheme="majorBidi" w:cstheme="majorBidi"/>
                <w:lang w:eastAsia="fr-FR"/>
              </w:rPr>
              <w:t xml:space="preserve"> Hassan, Longman, London, 1976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84"/>
              <w:jc w:val="both"/>
              <w:rPr>
                <w:rFonts w:asciiTheme="majorBidi" w:eastAsia="Times New Roman" w:hAnsiTheme="majorBidi" w:cstheme="majorBidi"/>
                <w:lang w:val="fr-FR" w:eastAsia="fr-FR"/>
              </w:rPr>
            </w:pPr>
            <w:r w:rsidRPr="00E56008">
              <w:rPr>
                <w:rFonts w:asciiTheme="majorBidi" w:eastAsia="Times New Roman" w:hAnsiTheme="majorBidi" w:cstheme="majorBidi"/>
                <w:lang w:val="fr-FR" w:eastAsia="fr-FR"/>
              </w:rPr>
              <w:t xml:space="preserve">Essai De Linguistique General. </w:t>
            </w:r>
            <w:proofErr w:type="gramStart"/>
            <w:r w:rsidRPr="00E56008">
              <w:rPr>
                <w:rFonts w:asciiTheme="majorBidi" w:eastAsia="Times New Roman" w:hAnsiTheme="majorBidi" w:cstheme="majorBidi"/>
                <w:lang w:val="fr-FR" w:eastAsia="fr-FR"/>
              </w:rPr>
              <w:t>Jakobson;</w:t>
            </w:r>
            <w:proofErr w:type="gramEnd"/>
            <w:r w:rsidRPr="00E56008">
              <w:rPr>
                <w:rFonts w:asciiTheme="majorBidi" w:eastAsia="Times New Roman" w:hAnsiTheme="majorBidi" w:cstheme="majorBidi"/>
                <w:lang w:val="fr-FR" w:eastAsia="fr-FR"/>
              </w:rPr>
              <w:t xml:space="preserve"> Les Editions De Minuit-Paris-1963.</w:t>
            </w:r>
            <w:r w:rsidRPr="00E56008">
              <w:rPr>
                <w:rFonts w:asciiTheme="majorBidi" w:eastAsia="Times New Roman" w:hAnsiTheme="majorBidi" w:cstheme="majorBidi"/>
                <w:rtl/>
                <w:lang w:val="fr-FR" w:eastAsia="fr-FR"/>
              </w:rPr>
              <w:t xml:space="preserve">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fr-FR" w:bidi="ar-DZ"/>
              </w:rPr>
              <w:t>Discourse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fr-FR" w:bidi="ar-DZ"/>
              </w:rPr>
              <w:t xml:space="preserve"> And Communication</w:t>
            </w:r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rtl/>
                <w:lang w:val="fr-FR" w:eastAsia="fr-FR" w:bidi="ar-DZ"/>
              </w:rPr>
              <w:t xml:space="preserve">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fr-FR" w:bidi="ar-DZ"/>
              </w:rPr>
              <w:t>Discourse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fr-FR" w:bidi="ar-DZ"/>
              </w:rPr>
              <w:t xml:space="preserve">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fr-FR" w:bidi="ar-DZ"/>
              </w:rPr>
              <w:t>Studies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rtl/>
                <w:lang w:val="fr-FR" w:eastAsia="fr-FR" w:bidi="ar-DZ"/>
              </w:rPr>
              <w:t xml:space="preserve">     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spacing w:line="192" w:lineRule="auto"/>
              <w:ind w:left="84"/>
              <w:rPr>
                <w:rFonts w:asciiTheme="majorBidi" w:eastAsia="Times New Roman" w:hAnsiTheme="majorBidi" w:cstheme="majorBidi"/>
                <w:spacing w:val="22"/>
                <w:kern w:val="16"/>
                <w:rtl/>
                <w:lang w:eastAsia="ar-SA"/>
              </w:rPr>
            </w:pPr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ar-SA" w:bidi="ar-DZ"/>
              </w:rPr>
              <w:t xml:space="preserve">F.de Saussure, Cours de </w:t>
            </w:r>
            <w:proofErr w:type="spell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ar-SA" w:bidi="ar-DZ"/>
              </w:rPr>
              <w:t>linguistic</w:t>
            </w:r>
            <w:proofErr w:type="spell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ar-SA" w:bidi="ar-DZ"/>
              </w:rPr>
              <w:t xml:space="preserve"> général (</w:t>
            </w:r>
            <w:proofErr w:type="gramStart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ar-SA" w:bidi="ar-DZ"/>
              </w:rPr>
              <w:t>Paris:</w:t>
            </w:r>
            <w:proofErr w:type="gramEnd"/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val="fr-FR" w:eastAsia="ar-SA" w:bidi="ar-DZ"/>
              </w:rPr>
              <w:t xml:space="preserve"> Payot, 1968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spacing w:line="192" w:lineRule="auto"/>
              <w:ind w:left="84"/>
              <w:rPr>
                <w:rFonts w:asciiTheme="majorBidi" w:eastAsia="Times New Roman" w:hAnsiTheme="majorBidi" w:cstheme="majorBidi"/>
                <w:spacing w:val="22"/>
                <w:kern w:val="16"/>
                <w:rtl/>
                <w:lang w:eastAsia="ar-SA" w:bidi="ar-DZ"/>
              </w:rPr>
            </w:pPr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ar-SA" w:bidi="ar-DZ"/>
              </w:rPr>
              <w:t>G Yule, The Study of Language (Cambridge: Cambridge University Press, 1996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84"/>
              <w:jc w:val="both"/>
              <w:rPr>
                <w:rFonts w:asciiTheme="majorBidi" w:eastAsia="Calibri" w:hAnsiTheme="majorBidi" w:cstheme="majorBidi"/>
                <w:lang w:val="fr-FR" w:bidi="ar-DZ"/>
              </w:rPr>
            </w:pPr>
            <w:r w:rsidRPr="00E56008">
              <w:rPr>
                <w:rFonts w:asciiTheme="majorBidi" w:eastAsia="Calibri" w:hAnsiTheme="majorBidi" w:cstheme="majorBidi"/>
                <w:smallCaps/>
                <w:lang w:val="it-IT"/>
              </w:rPr>
              <w:t xml:space="preserve">Hannelore, </w:t>
            </w:r>
            <w:r w:rsidRPr="00E56008">
              <w:rPr>
                <w:rFonts w:asciiTheme="majorBidi" w:eastAsia="Calibri" w:hAnsiTheme="majorBidi" w:cstheme="majorBidi"/>
                <w:lang w:val="it-IT"/>
              </w:rPr>
              <w:t>Lee-Jahnke</w:t>
            </w:r>
            <w:r w:rsidRPr="00E56008">
              <w:rPr>
                <w:rFonts w:asciiTheme="majorBidi" w:eastAsia="Calibri" w:hAnsiTheme="majorBidi" w:cstheme="majorBidi"/>
                <w:smallCaps/>
                <w:lang w:val="it-IT"/>
              </w:rPr>
              <w:t xml:space="preserve">(2001), </w:t>
            </w:r>
            <w:r w:rsidRPr="00E56008">
              <w:rPr>
                <w:rFonts w:asciiTheme="majorBidi" w:eastAsia="Calibri" w:hAnsiTheme="majorBidi" w:cstheme="majorBidi"/>
                <w:lang w:val="it-IT"/>
              </w:rPr>
              <w:t>« Présenation ».</w:t>
            </w:r>
            <w:r w:rsidRPr="00E56008">
              <w:rPr>
                <w:rFonts w:asciiTheme="majorBidi" w:eastAsia="Calibri" w:hAnsiTheme="majorBidi" w:cstheme="majorBidi"/>
                <w:smallCaps/>
                <w:lang w:val="it-IT"/>
              </w:rPr>
              <w:t xml:space="preserve"> Meta, </w:t>
            </w:r>
            <w:r w:rsidRPr="00E56008">
              <w:rPr>
                <w:rFonts w:asciiTheme="majorBidi" w:eastAsia="Calibri" w:hAnsiTheme="majorBidi" w:cstheme="majorBidi"/>
                <w:lang w:val="it-IT"/>
              </w:rPr>
              <w:t>vol. 46, n° 2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spacing w:line="192" w:lineRule="auto"/>
              <w:ind w:left="84"/>
              <w:rPr>
                <w:rFonts w:asciiTheme="majorBidi" w:eastAsia="Times New Roman" w:hAnsiTheme="majorBidi" w:cstheme="majorBidi"/>
                <w:spacing w:val="22"/>
                <w:kern w:val="16"/>
                <w:rtl/>
                <w:lang w:eastAsia="ar-SA" w:bidi="ar-DZ"/>
              </w:rPr>
            </w:pPr>
            <w:r w:rsidRPr="00E56008">
              <w:rPr>
                <w:rFonts w:asciiTheme="majorBidi" w:eastAsia="Times New Roman" w:hAnsiTheme="majorBidi" w:cstheme="majorBidi"/>
                <w:spacing w:val="22"/>
                <w:kern w:val="16"/>
                <w:lang w:eastAsia="ar-SA" w:bidi="ar-DZ"/>
              </w:rPr>
              <w:t>N Chomsky, Syntactic Structures (The Hague: Mouton, 1957.</w:t>
            </w:r>
          </w:p>
        </w:tc>
      </w:tr>
      <w:tr w:rsidR="00FD4EC0" w:rsidRPr="00E56008" w:rsidTr="00FD4EC0">
        <w:tc>
          <w:tcPr>
            <w:tcW w:w="8647" w:type="dxa"/>
          </w:tcPr>
          <w:p w:rsidR="00FD4EC0" w:rsidRPr="00E56008" w:rsidRDefault="00FD4EC0" w:rsidP="00FD4EC0">
            <w:pPr>
              <w:numPr>
                <w:ilvl w:val="0"/>
                <w:numId w:val="6"/>
              </w:numPr>
              <w:bidi w:val="0"/>
              <w:ind w:left="84"/>
              <w:jc w:val="both"/>
              <w:rPr>
                <w:rFonts w:asciiTheme="majorBidi" w:eastAsia="Calibri" w:hAnsiTheme="majorBidi" w:cstheme="majorBidi"/>
                <w:lang w:val="fr-FR" w:bidi="ar-DZ"/>
              </w:rPr>
            </w:pPr>
            <w:r w:rsidRPr="00E56008">
              <w:rPr>
                <w:rFonts w:asciiTheme="majorBidi" w:eastAsia="Calibri" w:hAnsiTheme="majorBidi" w:cstheme="majorBidi"/>
                <w:lang w:val="fr-FR"/>
              </w:rPr>
              <w:t xml:space="preserve">PERRENOUD, Philippe (1998), L’évaluation des élèves : De la fabrication de l’excellence scolaire à la régulation des apprentissages : Entre deux </w:t>
            </w:r>
            <w:proofErr w:type="spellStart"/>
            <w:r w:rsidRPr="00E56008">
              <w:rPr>
                <w:rFonts w:asciiTheme="majorBidi" w:eastAsia="Calibri" w:hAnsiTheme="majorBidi" w:cstheme="majorBidi"/>
                <w:lang w:val="fr-FR"/>
              </w:rPr>
              <w:t>logiques</w:t>
            </w:r>
            <w:proofErr w:type="gramStart"/>
            <w:r w:rsidRPr="00E56008">
              <w:rPr>
                <w:rFonts w:asciiTheme="majorBidi" w:eastAsia="Calibri" w:hAnsiTheme="majorBidi" w:cstheme="majorBidi"/>
                <w:lang w:val="fr-FR"/>
              </w:rPr>
              <w:t>,Bruxelles</w:t>
            </w:r>
            <w:proofErr w:type="spellEnd"/>
            <w:proofErr w:type="gramEnd"/>
            <w:r w:rsidRPr="00E56008">
              <w:rPr>
                <w:rFonts w:asciiTheme="majorBidi" w:eastAsia="Calibri" w:hAnsiTheme="majorBidi" w:cstheme="majorBidi"/>
                <w:lang w:val="fr-FR"/>
              </w:rPr>
              <w:t>, De Boeck</w:t>
            </w:r>
          </w:p>
        </w:tc>
      </w:tr>
    </w:tbl>
    <w:p w:rsidR="00FD4EC0" w:rsidRPr="00E56008" w:rsidRDefault="00FD4EC0" w:rsidP="00FD4EC0">
      <w:pPr>
        <w:bidi w:val="0"/>
        <w:spacing w:after="0" w:line="240" w:lineRule="auto"/>
        <w:ind w:left="84"/>
        <w:jc w:val="both"/>
        <w:rPr>
          <w:rFonts w:asciiTheme="majorBidi" w:eastAsia="Calibri" w:hAnsiTheme="majorBidi" w:cstheme="majorBidi"/>
          <w:rtl/>
          <w:lang w:val="fr-FR" w:bidi="ar-DZ"/>
        </w:rPr>
      </w:pPr>
    </w:p>
    <w:p w:rsidR="00B4318F" w:rsidRPr="00E56008" w:rsidRDefault="00FD4EC0" w:rsidP="00FD4EC0">
      <w:pPr>
        <w:pStyle w:val="Notedebasdepage"/>
        <w:spacing w:line="276" w:lineRule="auto"/>
        <w:ind w:left="84" w:firstLine="0"/>
        <w:rPr>
          <w:rFonts w:asciiTheme="majorBidi" w:hAnsiTheme="majorBidi" w:cstheme="majorBidi"/>
          <w:b/>
          <w:bCs/>
          <w:i w:val="0"/>
          <w:iCs w:val="0"/>
          <w:sz w:val="22"/>
          <w:szCs w:val="22"/>
          <w:rtl/>
        </w:rPr>
      </w:pPr>
      <w:r w:rsidRPr="00E56008">
        <w:rPr>
          <w:rFonts w:asciiTheme="majorBidi" w:hAnsiTheme="majorBidi" w:cstheme="majorBidi"/>
          <w:b/>
          <w:bCs/>
          <w:i w:val="0"/>
          <w:iCs w:val="0"/>
          <w:sz w:val="22"/>
          <w:szCs w:val="22"/>
          <w:rtl/>
          <w:lang w:bidi="ar-DZ"/>
        </w:rPr>
        <w:t>مواقع على النت:</w:t>
      </w:r>
    </w:p>
    <w:p w:rsidR="00FD4EC0" w:rsidRPr="00E56008" w:rsidRDefault="001A3C1C" w:rsidP="00FD4EC0">
      <w:pPr>
        <w:numPr>
          <w:ilvl w:val="0"/>
          <w:numId w:val="6"/>
        </w:numPr>
        <w:bidi w:val="0"/>
        <w:spacing w:after="0" w:line="240" w:lineRule="auto"/>
        <w:ind w:left="84"/>
        <w:jc w:val="both"/>
        <w:rPr>
          <w:rFonts w:asciiTheme="majorBidi" w:eastAsia="Calibri" w:hAnsiTheme="majorBidi" w:cstheme="majorBidi"/>
          <w:sz w:val="20"/>
          <w:szCs w:val="20"/>
          <w:rtl/>
          <w:lang w:val="fr-FR"/>
        </w:rPr>
      </w:pPr>
      <w:hyperlink r:id="rId8" w:history="1">
        <w:r w:rsidR="00FD4EC0" w:rsidRPr="00E56008">
          <w:rPr>
            <w:rFonts w:asciiTheme="majorBidi" w:eastAsia="Calibri" w:hAnsiTheme="majorBidi" w:cstheme="majorBidi"/>
            <w:sz w:val="20"/>
            <w:szCs w:val="20"/>
            <w:lang w:val="fr-FR"/>
          </w:rPr>
          <w:t>http://www.majala.educa.ma/index.php</w:t>
        </w:r>
      </w:hyperlink>
    </w:p>
    <w:p w:rsidR="00FD4EC0" w:rsidRPr="00E56008" w:rsidRDefault="001A3C1C" w:rsidP="00FD4EC0">
      <w:pPr>
        <w:numPr>
          <w:ilvl w:val="0"/>
          <w:numId w:val="6"/>
        </w:numPr>
        <w:bidi w:val="0"/>
        <w:spacing w:after="0" w:line="240" w:lineRule="auto"/>
        <w:ind w:left="84"/>
        <w:jc w:val="both"/>
        <w:rPr>
          <w:rFonts w:asciiTheme="majorBidi" w:eastAsia="Calibri" w:hAnsiTheme="majorBidi" w:cstheme="majorBidi"/>
          <w:sz w:val="20"/>
          <w:szCs w:val="20"/>
          <w:rtl/>
          <w:lang w:val="fr-FR"/>
        </w:rPr>
      </w:pPr>
      <w:hyperlink r:id="rId9" w:history="1">
        <w:r w:rsidR="00FD4EC0" w:rsidRPr="00E56008">
          <w:rPr>
            <w:rFonts w:asciiTheme="majorBidi" w:eastAsia="Calibri" w:hAnsiTheme="majorBidi" w:cstheme="majorBidi"/>
            <w:sz w:val="20"/>
            <w:szCs w:val="20"/>
            <w:lang w:val="fr-FR"/>
          </w:rPr>
          <w:t>http://www.edutrapedia.illaf.net/arabic/show_article.thtml?id=210</w:t>
        </w:r>
      </w:hyperlink>
    </w:p>
    <w:p w:rsidR="00FD4EC0" w:rsidRPr="00E56008" w:rsidRDefault="00FD4EC0" w:rsidP="00FD4EC0">
      <w:pPr>
        <w:numPr>
          <w:ilvl w:val="0"/>
          <w:numId w:val="6"/>
        </w:numPr>
        <w:bidi w:val="0"/>
        <w:spacing w:after="0" w:line="240" w:lineRule="auto"/>
        <w:ind w:left="84"/>
        <w:jc w:val="both"/>
        <w:rPr>
          <w:rFonts w:asciiTheme="majorBidi" w:eastAsia="Calibri" w:hAnsiTheme="majorBidi" w:cstheme="majorBidi"/>
          <w:sz w:val="20"/>
          <w:szCs w:val="20"/>
          <w:rtl/>
          <w:lang w:val="fr-FR"/>
        </w:rPr>
      </w:pPr>
      <w:r w:rsidRPr="00E56008">
        <w:rPr>
          <w:rFonts w:asciiTheme="majorBidi" w:eastAsia="Calibri" w:hAnsiTheme="majorBidi" w:cstheme="majorBidi"/>
          <w:sz w:val="20"/>
          <w:szCs w:val="20"/>
          <w:lang w:val="fr-FR"/>
        </w:rPr>
        <w:t xml:space="preserve">http://www.majala. </w:t>
      </w:r>
      <w:hyperlink r:id="rId10" w:history="1">
        <w:r w:rsidRPr="00E56008">
          <w:rPr>
            <w:rFonts w:asciiTheme="majorBidi" w:eastAsia="Calibri" w:hAnsiTheme="majorBidi" w:cstheme="majorBidi"/>
            <w:sz w:val="20"/>
            <w:szCs w:val="20"/>
            <w:lang w:val="fr-FR"/>
          </w:rPr>
          <w:t>http://kenanaonline.com/users/aboelfeky/posts</w:t>
        </w:r>
      </w:hyperlink>
    </w:p>
    <w:p w:rsidR="00FD4EC0" w:rsidRPr="00FD4EC0" w:rsidRDefault="00FD4EC0" w:rsidP="00FD4EC0">
      <w:pPr>
        <w:bidi w:val="0"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36"/>
          <w:szCs w:val="36"/>
          <w:lang w:val="fr-FR"/>
        </w:rPr>
      </w:pPr>
    </w:p>
    <w:p w:rsidR="00FD4EC0" w:rsidRPr="00FD4EC0" w:rsidRDefault="00FD4EC0" w:rsidP="00FD4EC0">
      <w:pPr>
        <w:pStyle w:val="Notedebasdepage"/>
        <w:spacing w:line="276" w:lineRule="auto"/>
        <w:ind w:left="84" w:firstLine="0"/>
        <w:rPr>
          <w:b/>
          <w:bCs/>
          <w:sz w:val="36"/>
          <w:szCs w:val="36"/>
          <w:rtl/>
          <w:lang w:bidi="ar-DZ"/>
        </w:rPr>
      </w:pPr>
    </w:p>
    <w:sectPr w:rsidR="00FD4EC0" w:rsidRPr="00FD4EC0" w:rsidSect="00E56008">
      <w:headerReference w:type="default" r:id="rId11"/>
      <w:footerReference w:type="default" r:id="rId12"/>
      <w:pgSz w:w="11906" w:h="16838"/>
      <w:pgMar w:top="1440" w:right="1797" w:bottom="1440" w:left="1797" w:header="709" w:footer="709" w:gutter="0"/>
      <w:pgNumType w:start="172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22BF" w:rsidRDefault="00F322BF" w:rsidP="00C516E3">
      <w:pPr>
        <w:spacing w:after="0" w:line="240" w:lineRule="auto"/>
      </w:pPr>
      <w:r>
        <w:separator/>
      </w:r>
    </w:p>
  </w:endnote>
  <w:endnote w:type="continuationSeparator" w:id="0">
    <w:p w:rsidR="00F322BF" w:rsidRDefault="00F322BF" w:rsidP="00C51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31279325"/>
      <w:docPartObj>
        <w:docPartGallery w:val="Page Numbers (Bottom of Page)"/>
        <w:docPartUnique/>
      </w:docPartObj>
    </w:sdtPr>
    <w:sdtContent>
      <w:p w:rsidR="00E56008" w:rsidRDefault="00E56008">
        <w:pPr>
          <w:pStyle w:val="Pieddepage"/>
          <w:jc w:val="center"/>
        </w:pPr>
        <w:fldSimple w:instr=" PAGE   \* MERGEFORMAT ">
          <w:r>
            <w:rPr>
              <w:noProof/>
              <w:rtl/>
            </w:rPr>
            <w:t>177</w:t>
          </w:r>
        </w:fldSimple>
      </w:p>
    </w:sdtContent>
  </w:sdt>
  <w:p w:rsidR="00C516E3" w:rsidRDefault="00C516E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22BF" w:rsidRDefault="00F322BF" w:rsidP="00C516E3">
      <w:pPr>
        <w:spacing w:after="0" w:line="240" w:lineRule="auto"/>
      </w:pPr>
      <w:r>
        <w:separator/>
      </w:r>
    </w:p>
  </w:footnote>
  <w:footnote w:type="continuationSeparator" w:id="0">
    <w:p w:rsidR="00F322BF" w:rsidRDefault="00F322BF" w:rsidP="00C51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hAnsi="Andalus" w:cs="Andalus"/>
        <w:b/>
        <w:bCs/>
        <w:spacing w:val="22"/>
        <w:kern w:val="16"/>
        <w:sz w:val="36"/>
        <w:szCs w:val="36"/>
        <w:rtl/>
        <w:lang w:bidi="ar-DZ"/>
      </w:rPr>
      <w:alias w:val="Titre"/>
      <w:id w:val="77738743"/>
      <w:placeholder>
        <w:docPart w:val="82E81EE31D464909A886FEA4670FAD38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7C25D4" w:rsidRPr="007C25D4" w:rsidRDefault="007C25D4" w:rsidP="007C25D4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="Andalus" w:eastAsiaTheme="majorEastAsia" w:hAnsi="Andalus" w:cs="Andalus"/>
            <w:sz w:val="24"/>
            <w:szCs w:val="24"/>
          </w:rPr>
        </w:pPr>
        <w:proofErr w:type="gramStart"/>
        <w:r w:rsidRPr="007C25D4">
          <w:rPr>
            <w:rFonts w:ascii="Andalus" w:hAnsi="Andalus" w:cs="Andalus"/>
            <w:b/>
            <w:bCs/>
            <w:spacing w:val="22"/>
            <w:kern w:val="16"/>
            <w:sz w:val="36"/>
            <w:szCs w:val="36"/>
            <w:rtl/>
            <w:lang w:bidi="ar-DZ"/>
          </w:rPr>
          <w:t>مكتبة</w:t>
        </w:r>
        <w:proofErr w:type="gramEnd"/>
        <w:r w:rsidRPr="007C25D4">
          <w:rPr>
            <w:rFonts w:ascii="Andalus" w:hAnsi="Andalus" w:cs="Andalus"/>
            <w:b/>
            <w:bCs/>
            <w:spacing w:val="22"/>
            <w:kern w:val="16"/>
            <w:sz w:val="36"/>
            <w:szCs w:val="36"/>
            <w:rtl/>
            <w:lang w:bidi="ar-DZ"/>
          </w:rPr>
          <w:t xml:space="preserve"> البحث</w:t>
        </w:r>
      </w:p>
    </w:sdtContent>
  </w:sdt>
  <w:p w:rsidR="007C25D4" w:rsidRDefault="007C25D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76846"/>
    <w:multiLevelType w:val="hybridMultilevel"/>
    <w:tmpl w:val="0E483686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59C3493"/>
    <w:multiLevelType w:val="hybridMultilevel"/>
    <w:tmpl w:val="F412E47E"/>
    <w:lvl w:ilvl="0" w:tplc="4C2491EE">
      <w:start w:val="1"/>
      <w:numFmt w:val="bullet"/>
      <w:lvlText w:val=""/>
      <w:lvlJc w:val="left"/>
      <w:pPr>
        <w:ind w:left="720" w:hanging="360"/>
      </w:pPr>
      <w:rPr>
        <w:rFonts w:ascii="Wingdings" w:hAnsi="Wingdings" w:cs="Wingdings" w:hint="default"/>
        <w:sz w:val="24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1077BE"/>
    <w:multiLevelType w:val="hybridMultilevel"/>
    <w:tmpl w:val="35E861CA"/>
    <w:lvl w:ilvl="0" w:tplc="F7F29A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B42394"/>
    <w:multiLevelType w:val="hybridMultilevel"/>
    <w:tmpl w:val="2F68ED1A"/>
    <w:lvl w:ilvl="0" w:tplc="2028DEB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8"/>
      </w:rPr>
    </w:lvl>
    <w:lvl w:ilvl="1" w:tplc="040C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8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C3CF2"/>
    <w:multiLevelType w:val="hybridMultilevel"/>
    <w:tmpl w:val="72EADE5E"/>
    <w:lvl w:ilvl="0" w:tplc="4B8219A6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6A882908"/>
    <w:multiLevelType w:val="hybridMultilevel"/>
    <w:tmpl w:val="AED6BF0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9439B"/>
    <w:rsid w:val="00145B0C"/>
    <w:rsid w:val="0019598D"/>
    <w:rsid w:val="001A3C1C"/>
    <w:rsid w:val="00303284"/>
    <w:rsid w:val="00337635"/>
    <w:rsid w:val="0059439B"/>
    <w:rsid w:val="005D651A"/>
    <w:rsid w:val="005F765B"/>
    <w:rsid w:val="00663CA2"/>
    <w:rsid w:val="007250D6"/>
    <w:rsid w:val="007C25D4"/>
    <w:rsid w:val="008328DE"/>
    <w:rsid w:val="00842C22"/>
    <w:rsid w:val="00890670"/>
    <w:rsid w:val="008912A0"/>
    <w:rsid w:val="0089627C"/>
    <w:rsid w:val="00930ACE"/>
    <w:rsid w:val="00A23991"/>
    <w:rsid w:val="00A5070F"/>
    <w:rsid w:val="00AE79C3"/>
    <w:rsid w:val="00B4318F"/>
    <w:rsid w:val="00B436FE"/>
    <w:rsid w:val="00C509A8"/>
    <w:rsid w:val="00C516E3"/>
    <w:rsid w:val="00C64FCB"/>
    <w:rsid w:val="00D44AD8"/>
    <w:rsid w:val="00D676AA"/>
    <w:rsid w:val="00DB1095"/>
    <w:rsid w:val="00DB1ED3"/>
    <w:rsid w:val="00E02D6C"/>
    <w:rsid w:val="00E56008"/>
    <w:rsid w:val="00F322BF"/>
    <w:rsid w:val="00FD4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070F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59439B"/>
    <w:pPr>
      <w:spacing w:after="0" w:line="192" w:lineRule="auto"/>
      <w:ind w:left="284" w:hanging="284"/>
      <w:jc w:val="lowKashida"/>
    </w:pPr>
    <w:rPr>
      <w:rFonts w:ascii="Times New Roman" w:eastAsia="Times New Roman" w:hAnsi="Times New Roman" w:cs="Traditional Arabic"/>
      <w:i/>
      <w:iCs/>
      <w:sz w:val="26"/>
      <w:szCs w:val="24"/>
      <w:lang w:eastAsia="ar-SA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9439B"/>
    <w:rPr>
      <w:rFonts w:ascii="Times New Roman" w:eastAsia="Times New Roman" w:hAnsi="Times New Roman" w:cs="Traditional Arabic"/>
      <w:i/>
      <w:iCs/>
      <w:sz w:val="26"/>
      <w:szCs w:val="24"/>
      <w:lang w:eastAsia="ar-SA"/>
    </w:rPr>
  </w:style>
  <w:style w:type="character" w:styleId="Lienhypertexte">
    <w:name w:val="Hyperlink"/>
    <w:basedOn w:val="Policepardfaut"/>
    <w:uiPriority w:val="99"/>
    <w:unhideWhenUsed/>
    <w:rsid w:val="00B4318F"/>
    <w:rPr>
      <w:color w:val="0000FF" w:themeColor="hyperlink"/>
      <w:u w:val="single"/>
    </w:rPr>
  </w:style>
  <w:style w:type="character" w:styleId="Appelnotedebasdep">
    <w:name w:val="footnote reference"/>
    <w:basedOn w:val="Policepardfaut"/>
    <w:semiHidden/>
    <w:rsid w:val="00842C22"/>
    <w:rPr>
      <w:vertAlign w:val="superscript"/>
    </w:rPr>
  </w:style>
  <w:style w:type="character" w:customStyle="1" w:styleId="auteur1">
    <w:name w:val="auteur1"/>
    <w:rsid w:val="00842C22"/>
    <w:rPr>
      <w:rFonts w:ascii="Arial Unicode MS" w:eastAsia="Arial Unicode MS" w:hAnsi="Arial Unicode MS" w:cs="Arial Unicode MS" w:hint="eastAsia"/>
      <w:b/>
      <w:bCs/>
      <w:color w:val="424D53"/>
      <w:sz w:val="17"/>
      <w:szCs w:val="17"/>
    </w:rPr>
  </w:style>
  <w:style w:type="table" w:styleId="Grilledutableau">
    <w:name w:val="Table Grid"/>
    <w:basedOn w:val="TableauNormal"/>
    <w:uiPriority w:val="59"/>
    <w:rsid w:val="00A2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2">
    <w:name w:val="List 2"/>
    <w:basedOn w:val="Normal"/>
    <w:uiPriority w:val="99"/>
    <w:rsid w:val="00A23991"/>
    <w:pPr>
      <w:bidi w:val="0"/>
      <w:spacing w:after="0" w:line="240" w:lineRule="auto"/>
      <w:ind w:left="566" w:hanging="283"/>
      <w:jc w:val="righ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1959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516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6E3"/>
  </w:style>
  <w:style w:type="paragraph" w:styleId="Pieddepage">
    <w:name w:val="footer"/>
    <w:basedOn w:val="Normal"/>
    <w:link w:val="PieddepageCar"/>
    <w:uiPriority w:val="99"/>
    <w:unhideWhenUsed/>
    <w:rsid w:val="00C516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6E3"/>
  </w:style>
  <w:style w:type="paragraph" w:styleId="Textedebulles">
    <w:name w:val="Balloon Text"/>
    <w:basedOn w:val="Normal"/>
    <w:link w:val="TextedebullesCar"/>
    <w:uiPriority w:val="99"/>
    <w:semiHidden/>
    <w:unhideWhenUsed/>
    <w:rsid w:val="007C2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25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rsid w:val="0059439B"/>
    <w:pPr>
      <w:spacing w:after="0" w:line="192" w:lineRule="auto"/>
      <w:ind w:left="284" w:hanging="284"/>
      <w:jc w:val="lowKashida"/>
    </w:pPr>
    <w:rPr>
      <w:rFonts w:ascii="Times New Roman" w:eastAsia="Times New Roman" w:hAnsi="Times New Roman" w:cs="Traditional Arabic"/>
      <w:i/>
      <w:iCs/>
      <w:sz w:val="26"/>
      <w:szCs w:val="24"/>
      <w:lang w:eastAsia="ar-SA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59439B"/>
    <w:rPr>
      <w:rFonts w:ascii="Times New Roman" w:eastAsia="Times New Roman" w:hAnsi="Times New Roman" w:cs="Traditional Arabic"/>
      <w:i/>
      <w:iCs/>
      <w:sz w:val="26"/>
      <w:szCs w:val="24"/>
      <w:lang w:eastAsia="ar-SA"/>
    </w:rPr>
  </w:style>
  <w:style w:type="character" w:styleId="Lienhypertexte">
    <w:name w:val="Hyperlink"/>
    <w:basedOn w:val="Policepardfaut"/>
    <w:uiPriority w:val="99"/>
    <w:unhideWhenUsed/>
    <w:rsid w:val="00B4318F"/>
    <w:rPr>
      <w:color w:val="0000FF" w:themeColor="hyperlink"/>
      <w:u w:val="single"/>
    </w:rPr>
  </w:style>
  <w:style w:type="character" w:styleId="Appelnotedebasdep">
    <w:name w:val="footnote reference"/>
    <w:basedOn w:val="Policepardfaut"/>
    <w:semiHidden/>
    <w:rsid w:val="00842C22"/>
    <w:rPr>
      <w:vertAlign w:val="superscript"/>
    </w:rPr>
  </w:style>
  <w:style w:type="character" w:customStyle="1" w:styleId="auteur1">
    <w:name w:val="auteur1"/>
    <w:rsid w:val="00842C22"/>
    <w:rPr>
      <w:rFonts w:ascii="Arial Unicode MS" w:eastAsia="Arial Unicode MS" w:hAnsi="Arial Unicode MS" w:cs="Arial Unicode MS" w:hint="eastAsia"/>
      <w:b/>
      <w:bCs/>
      <w:color w:val="424D53"/>
      <w:sz w:val="17"/>
      <w:szCs w:val="17"/>
    </w:rPr>
  </w:style>
  <w:style w:type="table" w:styleId="Grilledutableau">
    <w:name w:val="Table Grid"/>
    <w:basedOn w:val="TableauNormal"/>
    <w:uiPriority w:val="59"/>
    <w:rsid w:val="00A239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2">
    <w:name w:val="List 2"/>
    <w:basedOn w:val="Normal"/>
    <w:uiPriority w:val="99"/>
    <w:rsid w:val="00A23991"/>
    <w:pPr>
      <w:bidi w:val="0"/>
      <w:spacing w:after="0" w:line="240" w:lineRule="auto"/>
      <w:ind w:left="566" w:hanging="283"/>
      <w:jc w:val="right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rsid w:val="001959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516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16E3"/>
  </w:style>
  <w:style w:type="paragraph" w:styleId="Pieddepage">
    <w:name w:val="footer"/>
    <w:basedOn w:val="Normal"/>
    <w:link w:val="PieddepageCar"/>
    <w:uiPriority w:val="99"/>
    <w:unhideWhenUsed/>
    <w:rsid w:val="00C516E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16E3"/>
  </w:style>
  <w:style w:type="paragraph" w:styleId="Textedebulles">
    <w:name w:val="Balloon Text"/>
    <w:basedOn w:val="Normal"/>
    <w:link w:val="TextedebullesCar"/>
    <w:uiPriority w:val="99"/>
    <w:semiHidden/>
    <w:unhideWhenUsed/>
    <w:rsid w:val="007C2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C25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78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jala.educa.ma/index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kenanaonline.com/users/aboelfeky/posts/250939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edutrapedia.illaf.net/arabic/show_article.thtml?id=210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2E81EE31D464909A886FEA4670FAD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916BAC-1C0D-4BB3-B6B7-81C80A71FAB4}"/>
      </w:docPartPr>
      <w:docPartBody>
        <w:p w:rsidR="00720A3B" w:rsidRDefault="00806B60" w:rsidP="00806B60">
          <w:pPr>
            <w:pStyle w:val="82E81EE31D464909A886FEA4670FAD38"/>
          </w:pPr>
          <w:r>
            <w:rPr>
              <w:rFonts w:asciiTheme="majorHAnsi" w:eastAsiaTheme="majorEastAsia" w:hAnsiTheme="majorHAnsi" w:cstheme="majorBidi"/>
              <w:sz w:val="32"/>
              <w:szCs w:val="32"/>
              <w:lang w:val="fr-FR"/>
            </w:rPr>
            <w:t>[Titre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806B60"/>
    <w:rsid w:val="0003648F"/>
    <w:rsid w:val="00261E9E"/>
    <w:rsid w:val="006C451A"/>
    <w:rsid w:val="00720A3B"/>
    <w:rsid w:val="00806B60"/>
    <w:rsid w:val="00BC7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E9E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82E81EE31D464909A886FEA4670FAD38">
    <w:name w:val="82E81EE31D464909A886FEA4670FAD38"/>
    <w:rsid w:val="00806B60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8A256-FAED-4F58-8C97-73CDA24A7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1126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مكتبة البحث</vt:lpstr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مكتبة البحث</dc:title>
  <dc:creator>DJOMANA</dc:creator>
  <cp:lastModifiedBy>Hanifi</cp:lastModifiedBy>
  <cp:revision>2</cp:revision>
  <cp:lastPrinted>2015-05-01T15:03:00Z</cp:lastPrinted>
  <dcterms:created xsi:type="dcterms:W3CDTF">2015-05-01T15:05:00Z</dcterms:created>
  <dcterms:modified xsi:type="dcterms:W3CDTF">2015-05-01T15:05:00Z</dcterms:modified>
</cp:coreProperties>
</file>